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46FD31" w14:textId="254EF579" w:rsidR="0052086F" w:rsidRDefault="00804943" w:rsidP="0052086F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Online</w:t>
      </w:r>
      <w:r w:rsidR="0052086F">
        <w:rPr>
          <w:rFonts w:ascii="Times New Roman" w:eastAsia="Times New Roman" w:hAnsi="Times New Roman" w:cs="Times New Roman"/>
          <w:b/>
          <w:sz w:val="24"/>
          <w:szCs w:val="24"/>
        </w:rPr>
        <w:t xml:space="preserve"> Figures</w:t>
      </w:r>
    </w:p>
    <w:p w14:paraId="026C1014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63F4390E" wp14:editId="2B3DCB35">
            <wp:extent cx="5857875" cy="5210175"/>
            <wp:effectExtent l="0" t="0" r="0" b="0"/>
            <wp:docPr id="1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5210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B1897D" w14:textId="5340AB84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 | Spatial variation in the number of sampling years across all 1,816 study sites.</w:t>
      </w:r>
    </w:p>
    <w:p w14:paraId="37619876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3622A8A8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ACFAF0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0923B517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40F5CF6E" wp14:editId="3123929E">
            <wp:extent cx="5943600" cy="5156200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E6D60C" w14:textId="60879CE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abundance trends. </w:t>
      </w:r>
      <w:r>
        <w:rPr>
          <w:rFonts w:ascii="Times New Roman" w:eastAsia="Times New Roman" w:hAnsi="Times New Roman" w:cs="Times New Roman"/>
          <w:sz w:val="24"/>
          <w:szCs w:val="24"/>
        </w:rPr>
        <w:t>Point colors represent site-specific abundance trends in percentage change per year.</w:t>
      </w:r>
    </w:p>
    <w:p w14:paraId="67AE6805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8D9639B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3CBC8134" wp14:editId="26B57E82">
            <wp:extent cx="5943600" cy="5956300"/>
            <wp:effectExtent l="0" t="0" r="0" b="0"/>
            <wp:docPr id="2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CEF857" w14:textId="70985C74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additional taxonomic diversity metrics..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Shannon’s evenness,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taxonomic turnover,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Shannon’s diversity (H),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rarefied taxon richness.</w:t>
      </w:r>
    </w:p>
    <w:p w14:paraId="3D1A02F0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9EF8928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1BC31A2B" wp14:editId="26CFAE67">
            <wp:extent cx="5943600" cy="2692400"/>
            <wp:effectExtent l="0" t="0" r="0" b="0"/>
            <wp:docPr id="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6D8072" w14:textId="20C19E29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4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functional diversity metrics.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richness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redundancy.</w:t>
      </w:r>
    </w:p>
    <w:p w14:paraId="34E5891B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64C995AA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0862638A" wp14:editId="41914880">
            <wp:extent cx="5943600" cy="5943600"/>
            <wp:effectExtent l="0" t="0" r="0" b="0"/>
            <wp:docPr id="1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7F9831" w14:textId="4E7AEE39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additional functional diversity metrics..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evenness,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turnover,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Rao’s quadratic entropy,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divergence.</w:t>
      </w:r>
    </w:p>
    <w:p w14:paraId="4DFE45D3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EC98812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7D972625" wp14:editId="2A9F5CDE">
            <wp:extent cx="5943600" cy="5930900"/>
            <wp:effectExtent l="0" t="0" r="0" b="0"/>
            <wp:docPr id="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75DAE8" w14:textId="08FAE8D6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6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non-native and native species.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non-native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native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non-native abundance,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native abundance.</w:t>
      </w:r>
      <w:r w:rsidR="00ED6653">
        <w:rPr>
          <w:rFonts w:ascii="Times New Roman" w:eastAsia="Times New Roman" w:hAnsi="Times New Roman" w:cs="Times New Roman"/>
          <w:sz w:val="24"/>
          <w:szCs w:val="24"/>
        </w:rPr>
        <w:t xml:space="preserve"> Only the 1,299 sites having high taxonomic resolution enabling identification of native versus non-native species are shown.</w:t>
      </w:r>
    </w:p>
    <w:p w14:paraId="385BAAE2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FB76736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3EBA7B34" wp14:editId="13154978">
            <wp:extent cx="5943600" cy="5969000"/>
            <wp:effectExtent l="0" t="0" r="0" b="0"/>
            <wp:docPr id="3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584BB6" w14:textId="2AF07586" w:rsidR="001758CE" w:rsidRDefault="0052086F" w:rsidP="0052086F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7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EPT and insect  taxa.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EPT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insect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EPT abundance,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insect abundance.</w:t>
      </w:r>
    </w:p>
    <w:p w14:paraId="24663ABB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5BDCF9FD" wp14:editId="476F5659">
            <wp:extent cx="5943600" cy="5308600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E7E8DC" w14:textId="6C0B33EC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8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Pearson’s correlations, histograms, and regression plots comparing all response variables. </w:t>
      </w:r>
      <w:r>
        <w:rPr>
          <w:rFonts w:ascii="Times New Roman" w:eastAsia="Times New Roman" w:hAnsi="Times New Roman" w:cs="Times New Roman"/>
          <w:sz w:val="24"/>
          <w:szCs w:val="24"/>
        </w:rPr>
        <w:t>SR = taxon richness, RSR = rarefied taxon richness, ShH = Shannon’s diversity (H), E10 = Shannon’s evenness, Abund = abundance, TO = taxonomic turnover, FRic = functional richness, FRed = functional redundancy, FDiv = functional divergence, RaoQ = Rao’s quadratic entropy, FEve = functional evenness, FTO = functional turnover, alienSR = non-native species richness, alienAb = non-native abundance, natSR = native taxon richness, natAb = native abundance, EPTSR = EPT taxon richness, EPTAb = EPT abundance, insSR = insect taxon richness, and insAb = insect abundance.</w:t>
      </w:r>
    </w:p>
    <w:p w14:paraId="5ED718FF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7CE6D4E9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79AF75A6" wp14:editId="5B414AE1">
            <wp:extent cx="5943600" cy="5549900"/>
            <wp:effectExtent l="0" t="0" r="0" b="0"/>
            <wp:docPr id="2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82EC86" w14:textId="6BCC0F94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9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stream characteristics.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Spatial variation across the 1,816 study sites in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Strahler stream order,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flow accumulation,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elevation,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slope. See Extended Data Table 4 for more details and sources of environmental data.</w:t>
      </w:r>
    </w:p>
    <w:p w14:paraId="3FB8B083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B5877A5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72E27107" wp14:editId="74170AD5">
            <wp:extent cx="5943600" cy="2552700"/>
            <wp:effectExtent l="0" t="0" r="0" b="0"/>
            <wp:docPr id="2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BF2B78D" w14:textId="1CC30368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0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land cover.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Spatial variation across the 1,816 study sites in percentage upstream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crop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urban land cover types. See Extended Data Table 4 for details and sources of environmental data.</w:t>
      </w:r>
    </w:p>
    <w:p w14:paraId="2978886C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101655CE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33077FCC" wp14:editId="41BE76AC">
            <wp:extent cx="5943600" cy="5118100"/>
            <wp:effectExtent l="0" t="0" r="0" b="0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3E666A6" w14:textId="00665FF6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dam impacts. </w:t>
      </w:r>
      <w:r>
        <w:rPr>
          <w:rFonts w:ascii="Times New Roman" w:eastAsia="Times New Roman" w:hAnsi="Times New Roman" w:cs="Times New Roman"/>
          <w:sz w:val="24"/>
          <w:szCs w:val="24"/>
        </w:rPr>
        <w:t>Spatial variation across the 1,816 study sites in dam impact score based on distances between sites and upstream dams. See Extended Data Table 4 for details and the source of dam data and Methods for calculation of dam impact scores.</w:t>
      </w:r>
    </w:p>
    <w:p w14:paraId="78FCCB96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151B3F2B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42DB7BDA" wp14:editId="792B2C17">
            <wp:extent cx="5943600" cy="5549900"/>
            <wp:effectExtent l="0" t="0" r="0" b="0"/>
            <wp:docPr id="1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5309E5" w14:textId="6EBB73D2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climate variation.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Spatial variation across the 1,816 sites and over study duration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mean cumulative annual precipitation,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change (trend) in annual precipitation per year,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mean annual maximum temperature,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change (trend) in annual mean maximum temperature per year. See Extended Data Table 4 for details and sources of climate data and the Methods for additional description of the calculations.</w:t>
      </w:r>
    </w:p>
    <w:p w14:paraId="71580940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008C9F60" wp14:editId="2DCACF63">
            <wp:extent cx="5943600" cy="5257800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67DCC0" w14:textId="2D4DDE4F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Pearson’s correlations, histograms, and regression plots comparing all stream characteristics and environmental driver variables. </w:t>
      </w:r>
      <w:r>
        <w:rPr>
          <w:rFonts w:ascii="Times New Roman" w:eastAsia="Times New Roman" w:hAnsi="Times New Roman" w:cs="Times New Roman"/>
          <w:sz w:val="24"/>
          <w:szCs w:val="24"/>
        </w:rPr>
        <w:t>ppt_slope = the change (trend) in annual precipitation per year, tmax_slope = the change (trend) in annual mean maximum temperature per year, ppt_mean = mean annual cumulative precipitation, tmax_mean = mean annual maximum temperature, strOrder = Strahler stream order, accum = flow accumulation, elev = elevation, slope = slope, urban_mean = percentage upstream urban land cover, crop_mean = percentage upstream crop land cover, dam_impact = dam impact score. See Extended Data Table 4 and Methods for additional information on environmental data sources and processing.</w:t>
      </w:r>
    </w:p>
    <w:p w14:paraId="6E0512CF" w14:textId="2219FD92" w:rsidR="00804943" w:rsidRDefault="00804943" w:rsidP="00804943">
      <w:pPr>
        <w:pStyle w:val="NormalWeb"/>
        <w:spacing w:before="0" w:beforeAutospacing="0" w:after="0" w:afterAutospacing="0"/>
      </w:pPr>
      <w:r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5FC39A58" wp14:editId="44C058C3">
            <wp:extent cx="5734050" cy="49244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F7E2B" w14:textId="1D6B3323" w:rsidR="00804943" w:rsidRDefault="00804943" w:rsidP="00804943">
      <w:pPr>
        <w:pStyle w:val="NormalWeb"/>
        <w:spacing w:before="0" w:beforeAutospacing="0" w:after="0" w:afterAutospacing="0"/>
      </w:pPr>
      <w:r w:rsidRPr="00804943">
        <w:rPr>
          <w:b/>
        </w:rPr>
        <w:t>Fig. 1</w:t>
      </w:r>
      <w:r w:rsidR="00ED6653">
        <w:rPr>
          <w:b/>
        </w:rPr>
        <w:t>4</w:t>
      </w:r>
      <w:r w:rsidRPr="00804943">
        <w:rPr>
          <w:b/>
        </w:rPr>
        <w:t xml:space="preserve"> |</w:t>
      </w:r>
      <w:r w:rsidRPr="001610AA">
        <w:rPr>
          <w:b/>
        </w:rPr>
        <w:t xml:space="preserve"> </w:t>
      </w:r>
      <w:r w:rsidRPr="001610AA">
        <w:rPr>
          <w:b/>
          <w:bCs/>
        </w:rPr>
        <w:t xml:space="preserve">Sensitivity check to examine effects of years sampled on biodiversity trend estimates. </w:t>
      </w:r>
      <w:r w:rsidRPr="001610AA">
        <w:t>Grey dashed lines mark a trend of zero and red solid lines show linear regressions relationships between years sampled and estimates.</w:t>
      </w:r>
    </w:p>
    <w:p w14:paraId="6431BA00" w14:textId="002CF5D4" w:rsidR="001610AA" w:rsidRDefault="001610AA" w:rsidP="001610AA">
      <w:pPr>
        <w:pStyle w:val="NormalWeb"/>
        <w:spacing w:before="0" w:beforeAutospacing="0" w:after="0" w:afterAutospacing="0"/>
      </w:pPr>
      <w:r>
        <w:rPr>
          <w:noProof/>
          <w:color w:val="0000FF"/>
          <w:bdr w:val="none" w:sz="0" w:space="0" w:color="auto" w:frame="1"/>
        </w:rPr>
        <w:lastRenderedPageBreak/>
        <w:drawing>
          <wp:inline distT="0" distB="0" distL="0" distR="0" wp14:anchorId="3D9A5167" wp14:editId="455244FA">
            <wp:extent cx="5734050" cy="49244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E99D1" w14:textId="0811FDD1" w:rsidR="001610AA" w:rsidRPr="001610AA" w:rsidRDefault="001610AA" w:rsidP="001610AA">
      <w:pPr>
        <w:pStyle w:val="NormalWeb"/>
        <w:spacing w:before="0" w:beforeAutospacing="0" w:after="0" w:afterAutospacing="0"/>
      </w:pPr>
      <w:r w:rsidRPr="00804943">
        <w:rPr>
          <w:b/>
        </w:rPr>
        <w:t>Fig. 1</w:t>
      </w:r>
      <w:r w:rsidR="005B0714">
        <w:rPr>
          <w:b/>
        </w:rPr>
        <w:t>5</w:t>
      </w:r>
      <w:r w:rsidRPr="00804943">
        <w:rPr>
          <w:b/>
        </w:rPr>
        <w:t xml:space="preserve"> |</w:t>
      </w:r>
      <w:r w:rsidRPr="001610AA">
        <w:rPr>
          <w:b/>
        </w:rPr>
        <w:t xml:space="preserve"> Sensitivity check to examine effects of the first sampling year (start year) on biodiversity trend estimates.</w:t>
      </w:r>
      <w:r w:rsidRPr="001610AA">
        <w:t xml:space="preserve"> Grey dashed lines mark a trend of zero and red solid lines show linear regressions relationships between start year and estimates.</w:t>
      </w:r>
    </w:p>
    <w:p w14:paraId="7A32A0F6" w14:textId="000E1B59" w:rsidR="00804943" w:rsidRDefault="00ED6653" w:rsidP="00804943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83BD7AF" wp14:editId="67E9A510">
            <wp:extent cx="5943600" cy="4953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D960" w14:textId="0E44C694" w:rsidR="00D62A1C" w:rsidRPr="00804943" w:rsidRDefault="00D62A1C" w:rsidP="00804943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 w:rsidRPr="00804943"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Pr="00D62A1C">
        <w:rPr>
          <w:rFonts w:ascii="Times New Roman" w:hAnsi="Times New Roman" w:cs="Times New Roman"/>
          <w:b/>
          <w:sz w:val="24"/>
          <w:szCs w:val="24"/>
        </w:rPr>
        <w:t>7</w:t>
      </w:r>
      <w:r w:rsidRPr="00D62A1C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Pr="00804943">
        <w:rPr>
          <w:rFonts w:ascii="Times New Roman" w:eastAsia="Times New Roman" w:hAnsi="Times New Roman" w:cs="Times New Roman"/>
          <w:b/>
          <w:sz w:val="24"/>
          <w:szCs w:val="24"/>
        </w:rPr>
        <w:t>|</w:t>
      </w:r>
    </w:p>
    <w:p w14:paraId="2C3AAEAE" w14:textId="77777777" w:rsidR="0052086F" w:rsidRDefault="0052086F" w:rsidP="0052086F"/>
    <w:sectPr w:rsidR="0052086F">
      <w:footerReference w:type="default" r:id="rId2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C6A69C" w14:textId="77777777" w:rsidR="00324E48" w:rsidRDefault="00324E48" w:rsidP="0052086F">
      <w:pPr>
        <w:spacing w:after="0" w:line="240" w:lineRule="auto"/>
      </w:pPr>
      <w:r>
        <w:separator/>
      </w:r>
    </w:p>
  </w:endnote>
  <w:endnote w:type="continuationSeparator" w:id="0">
    <w:p w14:paraId="34F53E05" w14:textId="77777777" w:rsidR="00324E48" w:rsidRDefault="00324E48" w:rsidP="005208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7386372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38FCE3F" w14:textId="4B9261DA" w:rsidR="0052086F" w:rsidRDefault="0052086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311ED8B" w14:textId="77777777" w:rsidR="0052086F" w:rsidRDefault="0052086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B55009" w14:textId="77777777" w:rsidR="00324E48" w:rsidRDefault="00324E48" w:rsidP="0052086F">
      <w:pPr>
        <w:spacing w:after="0" w:line="240" w:lineRule="auto"/>
      </w:pPr>
      <w:r>
        <w:separator/>
      </w:r>
    </w:p>
  </w:footnote>
  <w:footnote w:type="continuationSeparator" w:id="0">
    <w:p w14:paraId="18A15F0B" w14:textId="77777777" w:rsidR="00324E48" w:rsidRDefault="00324E48" w:rsidP="0052086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086F"/>
    <w:rsid w:val="001610AA"/>
    <w:rsid w:val="001758CE"/>
    <w:rsid w:val="00324E48"/>
    <w:rsid w:val="0052086F"/>
    <w:rsid w:val="005B0714"/>
    <w:rsid w:val="00716BF2"/>
    <w:rsid w:val="00804943"/>
    <w:rsid w:val="00CC0A0F"/>
    <w:rsid w:val="00CE45FC"/>
    <w:rsid w:val="00D62A1C"/>
    <w:rsid w:val="00ED66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1F908F"/>
  <w15:chartTrackingRefBased/>
  <w15:docId w15:val="{84C908E7-7D54-4ECD-9D39-9C156BABA6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086F"/>
    <w:rPr>
      <w:rFonts w:ascii="Calibri" w:eastAsia="Calibri" w:hAnsi="Calibri" w:cs="Calibri"/>
      <w:lang w:val="en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08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086F"/>
    <w:rPr>
      <w:rFonts w:ascii="Calibri" w:eastAsia="Calibri" w:hAnsi="Calibri" w:cs="Calibri"/>
      <w:lang w:val="en" w:eastAsia="zh-CN"/>
    </w:rPr>
  </w:style>
  <w:style w:type="paragraph" w:styleId="Footer">
    <w:name w:val="footer"/>
    <w:basedOn w:val="Normal"/>
    <w:link w:val="FooterChar"/>
    <w:uiPriority w:val="99"/>
    <w:unhideWhenUsed/>
    <w:rsid w:val="005208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086F"/>
    <w:rPr>
      <w:rFonts w:ascii="Calibri" w:eastAsia="Calibri" w:hAnsi="Calibri" w:cs="Calibri"/>
      <w:lang w:val="en" w:eastAsia="zh-CN"/>
    </w:rPr>
  </w:style>
  <w:style w:type="paragraph" w:styleId="NormalWeb">
    <w:name w:val="Normal (Web)"/>
    <w:basedOn w:val="Normal"/>
    <w:uiPriority w:val="99"/>
    <w:semiHidden/>
    <w:unhideWhenUsed/>
    <w:rsid w:val="008049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79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5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0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tiff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1</Pages>
  <Words>698</Words>
  <Characters>3980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Ellen Welti</dc:creator>
  <cp:keywords/>
  <dc:description/>
  <cp:lastModifiedBy>Ellen Welti</cp:lastModifiedBy>
  <cp:revision>3</cp:revision>
  <dcterms:created xsi:type="dcterms:W3CDTF">2022-08-24T22:57:00Z</dcterms:created>
  <dcterms:modified xsi:type="dcterms:W3CDTF">2022-09-26T18:32:00Z</dcterms:modified>
</cp:coreProperties>
</file>